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0D" w:rsidRPr="0066110D" w:rsidRDefault="00EB35B5" w:rsidP="0066110D">
      <w:pPr>
        <w:tabs>
          <w:tab w:val="left" w:pos="32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EXTRAS din </w:t>
      </w:r>
      <w:r w:rsidR="000776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PROCES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UL</w:t>
      </w:r>
      <w:r w:rsidR="000776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– VERBAL nr. 26</w:t>
      </w: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1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al ședinței Consiliului de Integritate</w:t>
      </w: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1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mun. Chișinău                                                                        </w:t>
      </w:r>
      <w:r w:rsidR="000776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12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septembrie</w:t>
      </w:r>
      <w:r w:rsidRPr="00661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2017 </w:t>
      </w: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6"/>
        <w:gridCol w:w="994"/>
        <w:gridCol w:w="5815"/>
      </w:tblGrid>
      <w:tr w:rsidR="0066110D" w:rsidRPr="0066110D" w:rsidTr="00146EE8"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A prezidat:</w:t>
            </w: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Tatiana Paşcovschi</w:t>
            </w:r>
          </w:p>
        </w:tc>
      </w:tr>
      <w:tr w:rsidR="0066110D" w:rsidRPr="0066110D" w:rsidTr="00146EE8">
        <w:trPr>
          <w:trHeight w:val="208"/>
        </w:trPr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6110D" w:rsidRPr="0066110D" w:rsidTr="00146EE8"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Prezenţi:                                                                              </w:t>
            </w: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Membrii Consiliului de Integritate:</w:t>
            </w:r>
          </w:p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Dumitru Ţîra</w:t>
            </w:r>
          </w:p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Sergiu Ostaf </w:t>
            </w:r>
          </w:p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Mircea Roşioru</w:t>
            </w:r>
          </w:p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GB"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Oleg Efrim</w:t>
            </w:r>
          </w:p>
        </w:tc>
      </w:tr>
      <w:tr w:rsidR="0066110D" w:rsidRPr="0066110D" w:rsidTr="00146EE8">
        <w:trPr>
          <w:trHeight w:val="208"/>
        </w:trPr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6110D" w:rsidRPr="0066110D" w:rsidTr="00146EE8">
        <w:tc>
          <w:tcPr>
            <w:tcW w:w="2546" w:type="dxa"/>
          </w:tcPr>
          <w:p w:rsidR="0066110D" w:rsidRPr="0066110D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Participă</w:t>
            </w:r>
            <w:r w:rsidR="0066110D"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146EE8" w:rsidRDefault="00146EE8" w:rsidP="00146EE8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6E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Viorel Sochircă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consultant principal, Serviciul analiză, monitorizare și evaluare a politicilor publice, Autoritatea Națională de Integritate</w:t>
            </w:r>
          </w:p>
          <w:p w:rsidR="0066110D" w:rsidRPr="0066110D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6E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Eugeni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u Vițu – consultant principal, Serviciul informare și relații cu publicul,</w:t>
            </w:r>
            <w:r w:rsidRPr="00146E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Autoritatea Națională de Integritate</w:t>
            </w:r>
          </w:p>
        </w:tc>
      </w:tr>
      <w:tr w:rsidR="0066110D" w:rsidRPr="0066110D" w:rsidTr="00146EE8">
        <w:trPr>
          <w:trHeight w:val="208"/>
        </w:trPr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6110D" w:rsidRPr="0066110D" w:rsidTr="00146EE8"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Mass media:</w:t>
            </w: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07767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Ședință publică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privesc.eu, r</w:t>
            </w: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ealitatea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.md</w:t>
            </w:r>
          </w:p>
        </w:tc>
      </w:tr>
      <w:tr w:rsidR="0066110D" w:rsidRPr="0066110D" w:rsidTr="00146EE8">
        <w:tc>
          <w:tcPr>
            <w:tcW w:w="2546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6110D" w:rsidRPr="0066110D" w:rsidTr="00146EE8">
        <w:tc>
          <w:tcPr>
            <w:tcW w:w="2546" w:type="dxa"/>
          </w:tcPr>
          <w:p w:rsidR="0066110D" w:rsidRDefault="0066110D" w:rsidP="00480448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Acte puse la dispoziție:</w:t>
            </w:r>
          </w:p>
          <w:p w:rsidR="00146EE8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146EE8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146EE8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146EE8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146EE8" w:rsidRPr="0066110D" w:rsidRDefault="00146EE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4" w:type="dxa"/>
          </w:tcPr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480448" w:rsidRDefault="00480448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6110D" w:rsidRPr="0066110D" w:rsidRDefault="0007767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Agenda ședinței din 12</w:t>
            </w:r>
            <w:r w:rsidR="00B67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.09</w:t>
            </w:r>
            <w:r w:rsidR="0066110D"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.2017;</w:t>
            </w:r>
          </w:p>
          <w:p w:rsidR="0066110D" w:rsidRPr="0066110D" w:rsidRDefault="0066110D" w:rsidP="0066110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Planul de acţiuni privind </w:t>
            </w:r>
            <w:r w:rsidR="00B67904"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desfășurarea</w:t>
            </w: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concursului;</w:t>
            </w:r>
          </w:p>
          <w:p w:rsidR="00146EE8" w:rsidRDefault="0066110D" w:rsidP="00B67904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Proiectul Hotărârii CI privind admiterea </w:t>
            </w:r>
            <w:r w:rsidR="00B67904"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candidaților</w:t>
            </w:r>
            <w:r w:rsidRPr="006611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la concurs;</w:t>
            </w:r>
          </w:p>
          <w:p w:rsidR="00146EE8" w:rsidRDefault="00146EE8" w:rsidP="00B67904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D</w:t>
            </w:r>
            <w:r w:rsidR="00077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osarele candidaților la concurs;</w:t>
            </w:r>
          </w:p>
          <w:p w:rsidR="0007767D" w:rsidRDefault="0007767D" w:rsidP="00B67904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C</w:t>
            </w:r>
            <w:r w:rsidRPr="000776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opiilor autentificate a hotărârilor judecătorești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prezentate de candidatul Anatolie Donciu.</w:t>
            </w:r>
          </w:p>
          <w:p w:rsidR="0066110D" w:rsidRPr="0066110D" w:rsidRDefault="0066110D" w:rsidP="0007767D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46EE8" w:rsidRPr="00DC3015" w:rsidTr="00146EE8">
        <w:tc>
          <w:tcPr>
            <w:tcW w:w="2546" w:type="dxa"/>
          </w:tcPr>
          <w:p w:rsidR="00146EE8" w:rsidRPr="00146EE8" w:rsidRDefault="00146EE8" w:rsidP="00480448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146EE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Mijloace de înregistrare:                                    </w:t>
            </w:r>
          </w:p>
        </w:tc>
        <w:tc>
          <w:tcPr>
            <w:tcW w:w="994" w:type="dxa"/>
          </w:tcPr>
          <w:p w:rsidR="00146EE8" w:rsidRPr="00146EE8" w:rsidRDefault="00146EE8" w:rsidP="00146EE8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815" w:type="dxa"/>
          </w:tcPr>
          <w:p w:rsidR="00480448" w:rsidRDefault="00480448" w:rsidP="00146EE8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46EE8" w:rsidRPr="00146EE8" w:rsidRDefault="00146EE8" w:rsidP="00146EE8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6E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Reportofon „SONY ICD – UX533”</w:t>
            </w:r>
          </w:p>
        </w:tc>
      </w:tr>
    </w:tbl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1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Agenda </w:t>
      </w:r>
      <w:r w:rsidR="00B67904" w:rsidRPr="00661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ședinței</w:t>
      </w:r>
      <w:r w:rsidRPr="00661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6110D" w:rsidRPr="0066110D" w:rsidRDefault="0066110D" w:rsidP="006611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Examinarea dosarelor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candidaților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înscriși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în concurs pentru suplinirea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funcțiilor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de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președinte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şi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vicepreședinte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ai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Autorității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Naţionale de Integritate </w:t>
      </w:r>
      <w:r w:rsidR="009E54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9E5493" w:rsidRPr="009E549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în continuare Concurs</w:t>
      </w:r>
      <w:r w:rsidR="009E54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şi aprobarea hotărârii Consiliului de Integritate privind admiterea </w:t>
      </w:r>
      <w:r w:rsidR="00B67904"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candidaților</w:t>
      </w:r>
      <w:r w:rsidRPr="00661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la concurs</w:t>
      </w:r>
    </w:p>
    <w:p w:rsidR="0066110D" w:rsidRPr="0066110D" w:rsidRDefault="0066110D" w:rsidP="00B67904">
      <w:pPr>
        <w:overflowPunct w:val="0"/>
        <w:autoSpaceDE w:val="0"/>
        <w:autoSpaceDN w:val="0"/>
        <w:adjustRightInd w:val="0"/>
        <w:spacing w:before="120" w:after="0" w:line="240" w:lineRule="auto"/>
        <w:ind w:left="5676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6110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Prezintă – Tatiana Paşcovschi</w:t>
      </w:r>
    </w:p>
    <w:p w:rsidR="0066110D" w:rsidRPr="0066110D" w:rsidRDefault="0066110D" w:rsidP="0066110D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B67904" w:rsidRPr="00B67904" w:rsidRDefault="00B67904" w:rsidP="00B6790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79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Examinarea proiectului </w:t>
      </w:r>
      <w:r w:rsidRPr="00B67904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Regulamentului cu privire la organizarea şi funcțion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area Consiliului de Integritate</w:t>
      </w:r>
    </w:p>
    <w:p w:rsidR="00B67904" w:rsidRPr="00B67904" w:rsidRDefault="00B67904" w:rsidP="00B67904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7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         Prezintă – Viorel Rusu</w:t>
      </w:r>
    </w:p>
    <w:p w:rsidR="00B67904" w:rsidRPr="00B67904" w:rsidRDefault="00B67904" w:rsidP="00B67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7904">
        <w:rPr>
          <w:rFonts w:ascii="Times New Roman" w:eastAsia="Times New Roman" w:hAnsi="Times New Roman" w:cs="Times New Roman"/>
          <w:color w:val="000000"/>
          <w:sz w:val="27"/>
          <w:szCs w:val="27"/>
        </w:rPr>
        <w:t>Diverse</w:t>
      </w:r>
    </w:p>
    <w:p w:rsidR="00B67904" w:rsidRPr="00B67904" w:rsidRDefault="00B67904" w:rsidP="00B67904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7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       Moderator – Tatiana Paşcovschi</w:t>
      </w:r>
    </w:p>
    <w:p w:rsidR="0066110D" w:rsidRPr="0066110D" w:rsidRDefault="0066110D" w:rsidP="0066110D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66110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Desfășurarea ședinței:</w:t>
      </w:r>
    </w:p>
    <w:p w:rsidR="0066110D" w:rsidRPr="0066110D" w:rsidRDefault="0066110D" w:rsidP="0066110D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661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:rsidR="007967DC" w:rsidRPr="007967DC" w:rsidRDefault="00EB35B5" w:rsidP="00EB35B5">
      <w:pPr>
        <w:tabs>
          <w:tab w:val="left" w:pos="540"/>
          <w:tab w:val="left" w:pos="709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…</w:t>
      </w:r>
      <w:bookmarkStart w:id="0" w:name="_GoBack"/>
      <w:bookmarkEnd w:id="0"/>
    </w:p>
    <w:p w:rsidR="0075502B" w:rsidRPr="0075502B" w:rsidRDefault="009A7B12" w:rsidP="0075502B">
      <w:pPr>
        <w:tabs>
          <w:tab w:val="left" w:pos="540"/>
          <w:tab w:val="left" w:pos="709"/>
          <w:tab w:val="left" w:pos="324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</w:t>
      </w:r>
      <w:r w:rsidR="0075502B" w:rsidRPr="0075502B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În temeiul art.12, alin.(9) al Legii cu privire </w:t>
      </w:r>
      <w:smartTag w:uri="urn:schemas-microsoft-com:office:smarttags" w:element="PersonName">
        <w:smartTagPr>
          <w:attr w:name="ProductID" w:val="la Autoritatea Naţională"/>
        </w:smartTagPr>
        <w:r w:rsidR="0075502B" w:rsidRPr="0075502B">
          <w:rPr>
            <w:rFonts w:ascii="Times New Roman" w:eastAsia="Times New Roman" w:hAnsi="Times New Roman" w:cs="Times New Roman"/>
            <w:b/>
            <w:i/>
            <w:sz w:val="27"/>
            <w:szCs w:val="27"/>
            <w:lang w:eastAsia="ru-RU"/>
          </w:rPr>
          <w:t>la Autoritatea Naţională</w:t>
        </w:r>
      </w:smartTag>
      <w:r w:rsidR="0075502B" w:rsidRPr="0075502B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de Integritate, reieșind din cele menționate în cadrul </w:t>
      </w:r>
      <w:r w:rsidR="003B1807" w:rsidRPr="00921E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ședinței</w:t>
      </w:r>
      <w:r w:rsidR="0075502B" w:rsidRPr="0075502B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, Consiliul de Integritate</w:t>
      </w:r>
      <w:r w:rsidR="00921E0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,-</w:t>
      </w:r>
    </w:p>
    <w:p w:rsidR="0075502B" w:rsidRPr="0075502B" w:rsidRDefault="009A7B12" w:rsidP="0075502B">
      <w:pPr>
        <w:tabs>
          <w:tab w:val="left" w:pos="540"/>
          <w:tab w:val="left" w:pos="709"/>
          <w:tab w:val="left" w:pos="324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DISPUNE</w:t>
      </w:r>
      <w:r w:rsidR="0075502B" w:rsidRPr="00755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917ABD" w:rsidRPr="00917ABD" w:rsidRDefault="00917ABD" w:rsidP="00917ABD">
      <w:pPr>
        <w:numPr>
          <w:ilvl w:val="0"/>
          <w:numId w:val="10"/>
        </w:numPr>
        <w:tabs>
          <w:tab w:val="left" w:pos="82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</w:pPr>
      <w:r w:rsidRPr="00917ABD"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  <w:t xml:space="preserve">Se admit dosarele candidaților Victor Strătilă, Teodor Cârnaț, Lilian Chișca, depuse </w:t>
      </w: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pentru participare la concursul pentru suplinirea funcției de președinte al Autorității Naţionale de Integritate.</w:t>
      </w:r>
    </w:p>
    <w:p w:rsidR="00917ABD" w:rsidRPr="00917ABD" w:rsidRDefault="00917ABD" w:rsidP="00917ABD">
      <w:pPr>
        <w:numPr>
          <w:ilvl w:val="0"/>
          <w:numId w:val="10"/>
        </w:numPr>
        <w:tabs>
          <w:tab w:val="left" w:pos="82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</w:pPr>
      <w:r w:rsidRPr="00917ABD"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  <w:t xml:space="preserve">Se admite dosarul candidatului Lilian Chișca, depus </w:t>
      </w: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pentru participare la concursul pentru suplinirea funcției de vicepreședinte al Autorității Naţionale de Integritate.</w:t>
      </w:r>
    </w:p>
    <w:p w:rsidR="00917ABD" w:rsidRPr="00917ABD" w:rsidRDefault="00917ABD" w:rsidP="00917ABD">
      <w:pPr>
        <w:numPr>
          <w:ilvl w:val="0"/>
          <w:numId w:val="10"/>
        </w:numPr>
        <w:tabs>
          <w:tab w:val="left" w:pos="82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</w:pPr>
      <w:r w:rsidRPr="00917ABD"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  <w:t xml:space="preserve">Se respinge dosarul de concurs al candidatului Anatolie Donciu, depus </w:t>
      </w: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pentru participare la concursul pentru suplinirea funcțiilor de președinte şi vicepreședinte ai Autorității Naţionale de Integritate</w:t>
      </w:r>
      <w:r w:rsidRPr="00917ABD"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  <w:t xml:space="preserve">, pe motivul neîntrunirii </w:t>
      </w: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votului majorității membrilor Consiliului de Integritate prezenți</w:t>
      </w:r>
      <w:r w:rsidRPr="00917ABD"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  <w:t>.</w:t>
      </w:r>
    </w:p>
    <w:p w:rsidR="00917ABD" w:rsidRPr="00917ABD" w:rsidRDefault="00917ABD" w:rsidP="00917ABD">
      <w:pPr>
        <w:numPr>
          <w:ilvl w:val="0"/>
          <w:numId w:val="10"/>
        </w:numPr>
        <w:tabs>
          <w:tab w:val="left" w:pos="828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</w:pPr>
      <w:r w:rsidRPr="00917ABD">
        <w:rPr>
          <w:rFonts w:ascii="Times New Roman" w:eastAsia="Times New Roman" w:hAnsi="Times New Roman" w:cs="Times New Roman"/>
          <w:sz w:val="27"/>
          <w:szCs w:val="27"/>
          <w:lang w:val="ro-MD" w:eastAsia="ro-RO"/>
        </w:rPr>
        <w:t xml:space="preserve">Publicarea listei candidaților admiși la concurs și a informațiilor din dosarele  de concurs ale candidaților pe pagina web a </w:t>
      </w: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Autorității Naționale de Integritate.</w:t>
      </w:r>
    </w:p>
    <w:p w:rsidR="00917ABD" w:rsidRPr="00917ABD" w:rsidRDefault="00917ABD" w:rsidP="00917A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o-RO"/>
        </w:rPr>
      </w:pP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Prelungirea perioadei de depunere a dosarelor pentru participare la concursul pentru suplinirea funcției de vicepreședinte al Autorității Naţionale de Integritate cu 10 zile după publicarea anunțului în Monitorul Oficial al Republicii Moldova.</w:t>
      </w:r>
    </w:p>
    <w:p w:rsidR="00917ABD" w:rsidRPr="00917ABD" w:rsidRDefault="00917ABD" w:rsidP="00917A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o-RO"/>
        </w:rPr>
      </w:pPr>
      <w:r w:rsidRPr="00917ABD">
        <w:rPr>
          <w:rFonts w:ascii="Times New Roman" w:eastAsia="Times New Roman" w:hAnsi="Times New Roman" w:cs="Times New Roman"/>
          <w:sz w:val="27"/>
          <w:szCs w:val="27"/>
          <w:lang w:eastAsia="ro-RO"/>
        </w:rPr>
        <w:t>Publicarea anunțului în Monitorul Oficial al Republicii Moldova, privind prelungirea perioadei de depunere a dosarelor pentru participare la concursul pentru suplinirea funcției de vicepreședinte al Autorității Naţionale de Integritate cu 10 zile după publicare.</w:t>
      </w:r>
    </w:p>
    <w:p w:rsidR="0075502B" w:rsidRPr="0075502B" w:rsidRDefault="0075502B" w:rsidP="0075502B">
      <w:pPr>
        <w:tabs>
          <w:tab w:val="left" w:pos="540"/>
          <w:tab w:val="left" w:pos="709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502B" w:rsidRPr="0075502B" w:rsidRDefault="0075502B" w:rsidP="0075502B">
      <w:pPr>
        <w:tabs>
          <w:tab w:val="left" w:pos="540"/>
          <w:tab w:val="left" w:pos="709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502B" w:rsidRPr="0075502B" w:rsidRDefault="00917ABD" w:rsidP="0075502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3B18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Președinte </w:t>
      </w:r>
      <w:r w:rsidR="0075502B" w:rsidRPr="00755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al </w:t>
      </w:r>
      <w:r w:rsidR="003B1807" w:rsidRPr="00755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ședinței</w:t>
      </w:r>
      <w:r w:rsidR="0075502B" w:rsidRPr="00755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</w:t>
      </w:r>
      <w:r w:rsidR="003B18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Tatiana PAȘCOVSCHI</w:t>
      </w:r>
    </w:p>
    <w:p w:rsidR="0075502B" w:rsidRPr="0075502B" w:rsidRDefault="0075502B" w:rsidP="0075502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B1807" w:rsidRDefault="003B1807" w:rsidP="003B1807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502B" w:rsidRPr="0075502B" w:rsidRDefault="00917ABD" w:rsidP="003B1807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75502B" w:rsidRPr="00755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Secretar al ședinței                                                  </w:t>
      </w:r>
      <w:r w:rsidR="003B18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Viorel Sochircă</w:t>
      </w:r>
    </w:p>
    <w:p w:rsidR="00AB5716" w:rsidRDefault="00AB5716" w:rsidP="0075502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B5716" w:rsidRDefault="00AB5716" w:rsidP="0075502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B5716" w:rsidRDefault="00AB5716" w:rsidP="0075502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502B" w:rsidRPr="0075502B" w:rsidRDefault="0075502B" w:rsidP="0075502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502B">
        <w:rPr>
          <w:rFonts w:ascii="Times New Roman" w:eastAsia="Times New Roman" w:hAnsi="Times New Roman" w:cs="Times New Roman"/>
          <w:b/>
          <w:lang w:eastAsia="ru-RU"/>
        </w:rPr>
        <w:t>Notă:</w:t>
      </w:r>
      <w:r w:rsidRPr="007550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502B">
        <w:rPr>
          <w:rFonts w:ascii="Times New Roman" w:eastAsia="Times New Roman" w:hAnsi="Times New Roman" w:cs="Times New Roman"/>
          <w:i/>
          <w:lang w:eastAsia="ru-RU"/>
        </w:rPr>
        <w:t xml:space="preserve">Prezenta </w:t>
      </w:r>
      <w:r w:rsidR="003B1807" w:rsidRPr="0075502B">
        <w:rPr>
          <w:rFonts w:ascii="Times New Roman" w:eastAsia="Times New Roman" w:hAnsi="Times New Roman" w:cs="Times New Roman"/>
          <w:i/>
          <w:lang w:eastAsia="ru-RU"/>
        </w:rPr>
        <w:t>ședință</w:t>
      </w:r>
      <w:r w:rsidR="003B1807">
        <w:rPr>
          <w:rFonts w:ascii="Times New Roman" w:eastAsia="Times New Roman" w:hAnsi="Times New Roman" w:cs="Times New Roman"/>
          <w:i/>
          <w:lang w:eastAsia="ru-RU"/>
        </w:rPr>
        <w:t xml:space="preserve"> a fost</w:t>
      </w:r>
      <w:r w:rsidRPr="0075502B">
        <w:rPr>
          <w:rFonts w:ascii="Times New Roman" w:eastAsia="Times New Roman" w:hAnsi="Times New Roman" w:cs="Times New Roman"/>
          <w:i/>
          <w:lang w:eastAsia="ru-RU"/>
        </w:rPr>
        <w:t xml:space="preserve"> înregistrată audio. În cazul în care există divergențe între prezentul proces-verbal şi înregistrarea audio, de bază se va lua înregistrarea audio.</w:t>
      </w:r>
      <w:r w:rsidRPr="0075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672FA9" w:rsidRPr="00672FA9" w:rsidRDefault="00672FA9" w:rsidP="00672FA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672FA9" w:rsidRPr="00672FA9" w:rsidSect="00AB5716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1A" w:rsidRDefault="006D6B1A" w:rsidP="009A7B12">
      <w:pPr>
        <w:spacing w:after="0" w:line="240" w:lineRule="auto"/>
      </w:pPr>
      <w:r>
        <w:separator/>
      </w:r>
    </w:p>
  </w:endnote>
  <w:endnote w:type="continuationSeparator" w:id="0">
    <w:p w:rsidR="006D6B1A" w:rsidRDefault="006D6B1A" w:rsidP="009A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1A" w:rsidRDefault="006D6B1A" w:rsidP="009A7B12">
      <w:pPr>
        <w:spacing w:after="0" w:line="240" w:lineRule="auto"/>
      </w:pPr>
      <w:r>
        <w:separator/>
      </w:r>
    </w:p>
  </w:footnote>
  <w:footnote w:type="continuationSeparator" w:id="0">
    <w:p w:rsidR="006D6B1A" w:rsidRDefault="006D6B1A" w:rsidP="009A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86F"/>
    <w:multiLevelType w:val="multilevel"/>
    <w:tmpl w:val="6BA28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60"/>
    <w:multiLevelType w:val="hybridMultilevel"/>
    <w:tmpl w:val="2310A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B1A24"/>
    <w:multiLevelType w:val="hybridMultilevel"/>
    <w:tmpl w:val="FE28CC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4F5B"/>
    <w:multiLevelType w:val="hybridMultilevel"/>
    <w:tmpl w:val="D6AE80FC"/>
    <w:lvl w:ilvl="0" w:tplc="33360BA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9EF0191"/>
    <w:multiLevelType w:val="hybridMultilevel"/>
    <w:tmpl w:val="09A68626"/>
    <w:lvl w:ilvl="0" w:tplc="EFB4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00B4"/>
    <w:multiLevelType w:val="multilevel"/>
    <w:tmpl w:val="59E88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A24"/>
    <w:multiLevelType w:val="hybridMultilevel"/>
    <w:tmpl w:val="89A29448"/>
    <w:lvl w:ilvl="0" w:tplc="4A3691F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/>
        <w:i w:val="0"/>
        <w:sz w:val="28"/>
        <w:szCs w:val="28"/>
      </w:rPr>
    </w:lvl>
    <w:lvl w:ilvl="1" w:tplc="9202BC0A">
      <w:start w:val="4"/>
      <w:numFmt w:val="bullet"/>
      <w:lvlText w:val="-"/>
      <w:lvlJc w:val="left"/>
      <w:pPr>
        <w:tabs>
          <w:tab w:val="num" w:pos="1376"/>
        </w:tabs>
        <w:ind w:left="1376" w:hanging="5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15D1"/>
    <w:multiLevelType w:val="multilevel"/>
    <w:tmpl w:val="F87A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52"/>
        </w:tabs>
        <w:ind w:left="145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24"/>
        </w:tabs>
        <w:ind w:left="1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6"/>
        </w:tabs>
        <w:ind w:left="25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8"/>
        </w:tabs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60"/>
        </w:tabs>
        <w:ind w:left="3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2"/>
        </w:tabs>
        <w:ind w:left="43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64"/>
        </w:tabs>
        <w:ind w:left="4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96"/>
        </w:tabs>
        <w:ind w:left="5496" w:hanging="2160"/>
      </w:pPr>
      <w:rPr>
        <w:rFonts w:cs="Times New Roman" w:hint="default"/>
      </w:rPr>
    </w:lvl>
  </w:abstractNum>
  <w:abstractNum w:abstractNumId="8" w15:restartNumberingAfterBreak="0">
    <w:nsid w:val="5C5C7D93"/>
    <w:multiLevelType w:val="hybridMultilevel"/>
    <w:tmpl w:val="FE28CC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218E"/>
    <w:multiLevelType w:val="hybridMultilevel"/>
    <w:tmpl w:val="FE28CCA6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C"/>
    <w:rsid w:val="00013BF8"/>
    <w:rsid w:val="00024F0C"/>
    <w:rsid w:val="00041811"/>
    <w:rsid w:val="000528DC"/>
    <w:rsid w:val="0007767D"/>
    <w:rsid w:val="00086CC4"/>
    <w:rsid w:val="0009230F"/>
    <w:rsid w:val="000B1C6F"/>
    <w:rsid w:val="000C0060"/>
    <w:rsid w:val="000C20DC"/>
    <w:rsid w:val="000C57A6"/>
    <w:rsid w:val="000C7425"/>
    <w:rsid w:val="000F4DC3"/>
    <w:rsid w:val="001218D2"/>
    <w:rsid w:val="00137614"/>
    <w:rsid w:val="00146EE8"/>
    <w:rsid w:val="0017266A"/>
    <w:rsid w:val="001B3960"/>
    <w:rsid w:val="001D237E"/>
    <w:rsid w:val="001F6C13"/>
    <w:rsid w:val="001F786F"/>
    <w:rsid w:val="002025B8"/>
    <w:rsid w:val="00204007"/>
    <w:rsid w:val="002351A5"/>
    <w:rsid w:val="00236CC3"/>
    <w:rsid w:val="0024548B"/>
    <w:rsid w:val="00246FCD"/>
    <w:rsid w:val="002C25A5"/>
    <w:rsid w:val="002E6E0F"/>
    <w:rsid w:val="00305D1C"/>
    <w:rsid w:val="00325957"/>
    <w:rsid w:val="003453A9"/>
    <w:rsid w:val="00351F24"/>
    <w:rsid w:val="0035339D"/>
    <w:rsid w:val="00375969"/>
    <w:rsid w:val="0039178D"/>
    <w:rsid w:val="003B1807"/>
    <w:rsid w:val="003B57B6"/>
    <w:rsid w:val="003D60CE"/>
    <w:rsid w:val="003D7895"/>
    <w:rsid w:val="003F6D0D"/>
    <w:rsid w:val="00414E33"/>
    <w:rsid w:val="00474852"/>
    <w:rsid w:val="00480448"/>
    <w:rsid w:val="004A1123"/>
    <w:rsid w:val="004B293D"/>
    <w:rsid w:val="004D4CBA"/>
    <w:rsid w:val="005125A7"/>
    <w:rsid w:val="00512D6B"/>
    <w:rsid w:val="00522E58"/>
    <w:rsid w:val="00577CC8"/>
    <w:rsid w:val="00583B24"/>
    <w:rsid w:val="005933F4"/>
    <w:rsid w:val="005A4741"/>
    <w:rsid w:val="005D2082"/>
    <w:rsid w:val="005E058B"/>
    <w:rsid w:val="005E1F92"/>
    <w:rsid w:val="006044EA"/>
    <w:rsid w:val="00617A26"/>
    <w:rsid w:val="00642F69"/>
    <w:rsid w:val="00651CEF"/>
    <w:rsid w:val="0066073C"/>
    <w:rsid w:val="0066110D"/>
    <w:rsid w:val="0066324E"/>
    <w:rsid w:val="00666BC0"/>
    <w:rsid w:val="00671822"/>
    <w:rsid w:val="00672FA9"/>
    <w:rsid w:val="00694F45"/>
    <w:rsid w:val="006D59A2"/>
    <w:rsid w:val="006D6B1A"/>
    <w:rsid w:val="00706051"/>
    <w:rsid w:val="00712841"/>
    <w:rsid w:val="0071336D"/>
    <w:rsid w:val="0073417D"/>
    <w:rsid w:val="007421E3"/>
    <w:rsid w:val="0075502B"/>
    <w:rsid w:val="0077083E"/>
    <w:rsid w:val="00781511"/>
    <w:rsid w:val="007967DC"/>
    <w:rsid w:val="007B29C7"/>
    <w:rsid w:val="007D04FC"/>
    <w:rsid w:val="007D2606"/>
    <w:rsid w:val="007F4CE8"/>
    <w:rsid w:val="00810C01"/>
    <w:rsid w:val="008173A1"/>
    <w:rsid w:val="0082246E"/>
    <w:rsid w:val="00827B6B"/>
    <w:rsid w:val="008B73A8"/>
    <w:rsid w:val="008C0B4E"/>
    <w:rsid w:val="008C3C7B"/>
    <w:rsid w:val="008C5659"/>
    <w:rsid w:val="008D47F2"/>
    <w:rsid w:val="008D6317"/>
    <w:rsid w:val="00912BB9"/>
    <w:rsid w:val="00913553"/>
    <w:rsid w:val="00917ABD"/>
    <w:rsid w:val="00921E07"/>
    <w:rsid w:val="00923265"/>
    <w:rsid w:val="009A7B12"/>
    <w:rsid w:val="009B4120"/>
    <w:rsid w:val="009E5493"/>
    <w:rsid w:val="009F6163"/>
    <w:rsid w:val="00A14B1D"/>
    <w:rsid w:val="00A31B6D"/>
    <w:rsid w:val="00A47E67"/>
    <w:rsid w:val="00A54D94"/>
    <w:rsid w:val="00A56945"/>
    <w:rsid w:val="00A6483D"/>
    <w:rsid w:val="00A651ED"/>
    <w:rsid w:val="00AB5716"/>
    <w:rsid w:val="00AD3A63"/>
    <w:rsid w:val="00AF7C8D"/>
    <w:rsid w:val="00B032D2"/>
    <w:rsid w:val="00B46A6C"/>
    <w:rsid w:val="00B530C2"/>
    <w:rsid w:val="00B61E64"/>
    <w:rsid w:val="00B67904"/>
    <w:rsid w:val="00B91224"/>
    <w:rsid w:val="00B9284B"/>
    <w:rsid w:val="00B94F4D"/>
    <w:rsid w:val="00BC628D"/>
    <w:rsid w:val="00BD6689"/>
    <w:rsid w:val="00BE0E9C"/>
    <w:rsid w:val="00BF1D0C"/>
    <w:rsid w:val="00BF7A1B"/>
    <w:rsid w:val="00C30515"/>
    <w:rsid w:val="00C34945"/>
    <w:rsid w:val="00C366C0"/>
    <w:rsid w:val="00C42403"/>
    <w:rsid w:val="00C47657"/>
    <w:rsid w:val="00C52E81"/>
    <w:rsid w:val="00C53A01"/>
    <w:rsid w:val="00C55977"/>
    <w:rsid w:val="00C76FEF"/>
    <w:rsid w:val="00CA43B9"/>
    <w:rsid w:val="00CA70CD"/>
    <w:rsid w:val="00CB2B6B"/>
    <w:rsid w:val="00CB3965"/>
    <w:rsid w:val="00CE09EB"/>
    <w:rsid w:val="00CE125E"/>
    <w:rsid w:val="00CE3DBC"/>
    <w:rsid w:val="00CE7C9E"/>
    <w:rsid w:val="00CF445C"/>
    <w:rsid w:val="00D13067"/>
    <w:rsid w:val="00D339B0"/>
    <w:rsid w:val="00D361D2"/>
    <w:rsid w:val="00D868EA"/>
    <w:rsid w:val="00D869CF"/>
    <w:rsid w:val="00DB5276"/>
    <w:rsid w:val="00DC4580"/>
    <w:rsid w:val="00DD0CDA"/>
    <w:rsid w:val="00DD399A"/>
    <w:rsid w:val="00DE2E71"/>
    <w:rsid w:val="00DE7DDA"/>
    <w:rsid w:val="00E00CF0"/>
    <w:rsid w:val="00E35824"/>
    <w:rsid w:val="00E44E03"/>
    <w:rsid w:val="00E50BFF"/>
    <w:rsid w:val="00E61E6B"/>
    <w:rsid w:val="00E67052"/>
    <w:rsid w:val="00E84C08"/>
    <w:rsid w:val="00E96BDE"/>
    <w:rsid w:val="00EB35B5"/>
    <w:rsid w:val="00EB411F"/>
    <w:rsid w:val="00F0092B"/>
    <w:rsid w:val="00F22C3B"/>
    <w:rsid w:val="00F32075"/>
    <w:rsid w:val="00F4488A"/>
    <w:rsid w:val="00F70B50"/>
    <w:rsid w:val="00F841BB"/>
    <w:rsid w:val="00F96B66"/>
    <w:rsid w:val="00FA57D4"/>
    <w:rsid w:val="00FC5400"/>
    <w:rsid w:val="00FF6B7C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005B9-5D2C-49C2-964E-B3A0F225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12"/>
  </w:style>
  <w:style w:type="paragraph" w:styleId="a5">
    <w:name w:val="footer"/>
    <w:basedOn w:val="a"/>
    <w:link w:val="a6"/>
    <w:uiPriority w:val="99"/>
    <w:unhideWhenUsed/>
    <w:rsid w:val="009A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DEDB-EF7F-4C04-8E4C-1B361CE4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538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2017-09-05T10:09:00Z</dcterms:created>
  <dcterms:modified xsi:type="dcterms:W3CDTF">2017-10-02T08:59:00Z</dcterms:modified>
</cp:coreProperties>
</file>